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8080" w:right="0" w:firstLine="0"/>
        <w:jc w:val="righ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Anexa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2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la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o-RO" w:eastAsia="ro-RO" w:bidi="ro-RO"/>
        </w:rPr>
        <w:t xml:space="preserve">Hotărârea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Consiliului de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o-RO" w:eastAsia="ro-RO" w:bidi="ro-RO"/>
        </w:rPr>
        <w:t xml:space="preserve">Administrație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al ANRCETI nr.5 din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30.03.2021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o-RO" w:eastAsia="ro-RO" w:bidi="ro-RO"/>
        </w:rPr>
        <w:t>INSTRUCȚIUNE</w:t>
        <w:br/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privind completarea formularului statistic a furnizorului</w:t>
        <w:br/>
        <w:t>de servicii de acces la Internet</w:t>
      </w:r>
    </w:p>
    <w:p>
      <w:pPr>
        <w:pStyle w:val="Style8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0" w:name="bookmark0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Completarea paginii de titlu a formularului</w:t>
      </w:r>
      <w:bookmarkEnd w:id="0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6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Formularul statistic cuprinde foaia de titlu, care va descrie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o-RO" w:eastAsia="ro-RO" w:bidi="ro-RO"/>
        </w:rPr>
        <w:t xml:space="preserve">informația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despre furnizorul care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o-RO" w:eastAsia="ro-RO" w:bidi="ro-RO"/>
        </w:rPr>
        <w:t xml:space="preserve">prezintă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raportul, perioada de raportare, persoana de contact (persoana care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o-RO" w:eastAsia="ro-RO" w:bidi="ro-RO"/>
        </w:rPr>
        <w:t xml:space="preserve">completează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raportul).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o-RO" w:eastAsia="ro-RO" w:bidi="ro-RO"/>
        </w:rPr>
        <w:t xml:space="preserve">În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denumirea furnizorului va fi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o-RO" w:eastAsia="ro-RO" w:bidi="ro-RO"/>
        </w:rPr>
        <w:t xml:space="preserve">indicată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denumirea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o-RO" w:eastAsia="ro-RO" w:bidi="ro-RO"/>
        </w:rPr>
        <w:t xml:space="preserve">juridică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o-RO" w:eastAsia="ro-RO" w:bidi="ro-RO"/>
        </w:rPr>
        <w:t xml:space="preserve">întreprinderii,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astfel cum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o-RO" w:eastAsia="ro-RO" w:bidi="ro-RO"/>
        </w:rPr>
        <w:t xml:space="preserve">figurează în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actele de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o-RO" w:eastAsia="ro-RO" w:bidi="ro-RO"/>
        </w:rPr>
        <w:t xml:space="preserve">înregistrare și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cele din notificarea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o-RO" w:eastAsia="ro-RO" w:bidi="ro-RO"/>
        </w:rPr>
        <w:t xml:space="preserve">expediată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ANRCETI privind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o-RO" w:eastAsia="ro-RO" w:bidi="ro-RO"/>
        </w:rPr>
        <w:t xml:space="preserve">activitățile în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domeniul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o-RO" w:eastAsia="ro-RO" w:bidi="ro-RO"/>
        </w:rPr>
        <w:t xml:space="preserve">comunicațiilor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electronice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o-RO" w:eastAsia="ro-RO" w:bidi="ro-RO"/>
        </w:rPr>
        <w:t>desfășurate.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La IDNO se va completa codul unic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o-RO" w:eastAsia="ro-RO" w:bidi="ro-RO"/>
        </w:rPr>
        <w:t xml:space="preserve">obținut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la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o-RO" w:eastAsia="ro-RO" w:bidi="ro-RO"/>
        </w:rPr>
        <w:t xml:space="preserve">înregistrarea întreprinderii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(cod fiscal). Prezentarea acestuia este obligatorie, pentru a permite prelucrarea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o-RO" w:eastAsia="ro-RO" w:bidi="ro-RO"/>
        </w:rPr>
        <w:t xml:space="preserve">corectă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a rapoartelor prezentate.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Perioada de raportare se va indica cea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o-RO" w:eastAsia="ro-RO" w:bidi="ro-RO"/>
        </w:rPr>
        <w:t xml:space="preserve">încheiată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pentru care se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o-RO" w:eastAsia="ro-RO" w:bidi="ro-RO"/>
        </w:rPr>
        <w:t xml:space="preserve">prezintă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datele. Spre exemplu, se va indica anul de raportare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2020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atunci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o-RO" w:eastAsia="ro-RO" w:bidi="ro-RO"/>
        </w:rPr>
        <w:t xml:space="preserve">când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se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o-RO" w:eastAsia="ro-RO" w:bidi="ro-RO"/>
        </w:rPr>
        <w:t xml:space="preserve">raportează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rezultatele ce corespund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o-RO" w:eastAsia="ro-RO" w:bidi="ro-RO"/>
        </w:rPr>
        <w:t xml:space="preserve">activității în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acest an, chiar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o-RO" w:eastAsia="ro-RO" w:bidi="ro-RO"/>
        </w:rPr>
        <w:t xml:space="preserve">dacă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raportul este efectiv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o-RO" w:eastAsia="ro-RO" w:bidi="ro-RO"/>
        </w:rPr>
        <w:t xml:space="preserve">întocmit și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prezentat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o-RO" w:eastAsia="ro-RO" w:bidi="ro-RO"/>
        </w:rPr>
        <w:t xml:space="preserve">în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ianuarie sau februarie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2021.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o-RO" w:eastAsia="ro-RO" w:bidi="ro-RO"/>
        </w:rPr>
        <w:t xml:space="preserve">În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formular este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o-RO" w:eastAsia="ro-RO" w:bidi="ro-RO"/>
        </w:rPr>
        <w:t xml:space="preserve">prezentă și informația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despre semestrul de raportare, care, de asemenea, va fi indicat cel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o-RO" w:eastAsia="ro-RO" w:bidi="ro-RO"/>
        </w:rPr>
        <w:t xml:space="preserve">încheiat și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pentru care se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o-RO" w:eastAsia="ro-RO" w:bidi="ro-RO"/>
        </w:rPr>
        <w:t xml:space="preserve">raportează,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nu cel curent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o-RO" w:eastAsia="ro-RO" w:bidi="ro-RO"/>
        </w:rPr>
        <w:t xml:space="preserve">în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momentul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o-RO" w:eastAsia="ro-RO" w:bidi="ro-RO"/>
        </w:rPr>
        <w:t xml:space="preserve">întocmirii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sau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o-RO" w:eastAsia="ro-RO" w:bidi="ro-RO"/>
        </w:rPr>
        <w:t xml:space="preserve">prezentării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precum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o-RO" w:eastAsia="ro-RO" w:bidi="ro-RO"/>
        </w:rPr>
        <w:t xml:space="preserve">și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anul. Datele semestriale vor fi cumulative pe parcursul anului. Spre exemplu,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o-RO" w:eastAsia="ro-RO" w:bidi="ro-RO"/>
        </w:rPr>
        <w:t xml:space="preserve">dacă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furnizorul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o-RO" w:eastAsia="ro-RO" w:bidi="ro-RO"/>
        </w:rPr>
        <w:t xml:space="preserve">prezintă informația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despre rezultatele semestrului I al anului de gestiune, aceasta presupune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o-RO" w:eastAsia="ro-RO" w:bidi="ro-RO"/>
        </w:rPr>
        <w:t xml:space="preserve">că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datele care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o-RO" w:eastAsia="ro-RO" w:bidi="ro-RO"/>
        </w:rPr>
        <w:t xml:space="preserve">reflectă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valorile unei perioade (de exemplu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o-RO" w:eastAsia="ro-RO" w:bidi="ro-RO"/>
        </w:rPr>
        <w:t xml:space="preserve">numărul abonaților/utilizatorilor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(persoane individuale) la serviciul de acces la Internet, care au solicitat conectarea la serviciul de filtrare 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o-RO" w:eastAsia="ro-RO" w:bidi="ro-RO"/>
        </w:rPr>
        <w:t xml:space="preserve">conținutului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din Internet cu impact negativ asupra copiilor vor fi indicate cele de la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o-RO" w:eastAsia="ro-RO" w:bidi="ro-RO"/>
        </w:rPr>
        <w:t xml:space="preserve">începutul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anului calendaristic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o-RO" w:eastAsia="ro-RO" w:bidi="ro-RO"/>
        </w:rPr>
        <w:t xml:space="preserve">până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la finele semestrului pentru care se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o-RO" w:eastAsia="ro-RO" w:bidi="ro-RO"/>
        </w:rPr>
        <w:t xml:space="preserve">raportează.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Prin urmare, datele raportate pentru semestrul II vor fi echivalente cu datele anuale ale furnizorului.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La persoana de contact se va indica acea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o-RO" w:eastAsia="ro-RO" w:bidi="ro-RO"/>
        </w:rPr>
        <w:t xml:space="preserve">persoană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care a completat formularul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o-RO" w:eastAsia="ro-RO" w:bidi="ro-RO"/>
        </w:rPr>
        <w:t xml:space="preserve">(și,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mai jos de numele acesteia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-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adresa de email), sau a fost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o-RO" w:eastAsia="ro-RO" w:bidi="ro-RO"/>
        </w:rPr>
        <w:t xml:space="preserve">responsabilă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pentru agregarea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o-RO" w:eastAsia="ro-RO" w:bidi="ro-RO"/>
        </w:rPr>
        <w:t xml:space="preserve">informațiilor conținute în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raport, sau este persoana care are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o-RO" w:eastAsia="ro-RO" w:bidi="ro-RO"/>
        </w:rPr>
        <w:t xml:space="preserve">competența să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comunice despre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o-RO" w:eastAsia="ro-RO" w:bidi="ro-RO"/>
        </w:rPr>
        <w:t xml:space="preserve">conținutul informațiilor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din raport.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6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ANRCETI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o-RO" w:eastAsia="ro-RO" w:bidi="ro-RO"/>
        </w:rPr>
        <w:t xml:space="preserve">aplică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instrumentul de memento (reminder) despre apropierea termenului de prezentare a raportului statistic prin intermediul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o-RO" w:eastAsia="ro-RO" w:bidi="ro-RO"/>
        </w:rPr>
        <w:t xml:space="preserve">poștei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electronice.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o-RO" w:eastAsia="ro-RO" w:bidi="ro-RO"/>
        </w:rPr>
        <w:t xml:space="preserve">În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cazul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o-RO" w:eastAsia="ro-RO" w:bidi="ro-RO"/>
        </w:rPr>
        <w:t xml:space="preserve">dacă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persoana de contact alege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o-RO" w:eastAsia="ro-RO" w:bidi="ro-RO"/>
        </w:rPr>
        <w:t xml:space="preserve">opțiunea,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adresa de email este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o-RO" w:eastAsia="ro-RO" w:bidi="ro-RO"/>
        </w:rPr>
        <w:t xml:space="preserve">introdusă în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lista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o-RO" w:eastAsia="ro-RO" w:bidi="ro-RO"/>
        </w:rPr>
        <w:t xml:space="preserve">respectivă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pentru memento. La adresa de contact a furnizorului se va indica adresa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o-RO" w:eastAsia="ro-RO" w:bidi="ro-RO"/>
        </w:rPr>
        <w:t xml:space="preserve">poștală potrivită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pentru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o-RO" w:eastAsia="ro-RO" w:bidi="ro-RO"/>
        </w:rPr>
        <w:t xml:space="preserve">corespondență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cu furnizorul. La fel,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o-RO" w:eastAsia="ro-RO" w:bidi="ro-RO"/>
        </w:rPr>
        <w:t xml:space="preserve">dacă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se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o-RO" w:eastAsia="ro-RO" w:bidi="ro-RO"/>
        </w:rPr>
        <w:t xml:space="preserve">selectează opțiunea pozitivă,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ANRCETI introduce adresa de email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o-RO" w:eastAsia="ro-RO" w:bidi="ro-RO"/>
        </w:rPr>
        <w:t xml:space="preserve">indicată în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lista de email-uri pentru memento despre apropierea termenului de prezentare a raportului statistic.</w:t>
      </w:r>
    </w:p>
    <w:p>
      <w:pPr>
        <w:pStyle w:val="Style8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2" w:name="bookmark2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Completarea paginii „Serviciul furnizat” a formularului</w:t>
      </w:r>
      <w:bookmarkEnd w:id="2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Au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o-RO" w:eastAsia="ro-RO" w:bidi="ro-RO"/>
        </w:rPr>
        <w:t xml:space="preserve">obligația să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completeze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o-RO" w:eastAsia="ro-RO" w:bidi="ro-RO"/>
        </w:rPr>
        <w:t xml:space="preserve">această pagină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acei furnizori, care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o-RO" w:eastAsia="ro-RO" w:bidi="ro-RO"/>
        </w:rPr>
        <w:t xml:space="preserve">oferă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servicii de acces la Internet. Raportul se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o-RO" w:eastAsia="ro-RO" w:bidi="ro-RO"/>
        </w:rPr>
        <w:t xml:space="preserve">completează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semestrial (timp de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30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de zile de la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o-RO" w:eastAsia="ro-RO" w:bidi="ro-RO"/>
        </w:rPr>
        <w:t xml:space="preserve">încheierea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perioadei de raportare)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o-RO" w:eastAsia="ro-RO" w:bidi="ro-RO"/>
        </w:rPr>
        <w:t xml:space="preserve">și în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format cumulativ pe perioada anului calendaristic.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898" w:val="left"/>
        </w:tabs>
        <w:bidi w:val="0"/>
        <w:spacing w:before="0" w:after="0" w:line="240" w:lineRule="auto"/>
        <w:ind w:left="0" w:right="0" w:firstLine="6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Acest indicator va reflecta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o-RO" w:eastAsia="ro-RO" w:bidi="ro-RO"/>
        </w:rPr>
        <w:t xml:space="preserve">numărul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total de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o-RO" w:eastAsia="ro-RO" w:bidi="ro-RO"/>
        </w:rPr>
        <w:t xml:space="preserve">abonați/utilizatori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(persoane individuale) la un serviciu de acces la Internet, care au solicitat conectarea la serviciul de filtrare 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o-RO" w:eastAsia="ro-RO" w:bidi="ro-RO"/>
        </w:rPr>
        <w:t xml:space="preserve">conținutului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din Internet cu impact negativ asupra copiilor semestrial/anual.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898" w:val="left"/>
        </w:tabs>
        <w:bidi w:val="0"/>
        <w:spacing w:before="0" w:after="0" w:line="240" w:lineRule="auto"/>
        <w:ind w:left="0" w:right="0" w:firstLine="6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Acest indicator va reflecta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o-RO" w:eastAsia="ro-RO" w:bidi="ro-RO"/>
        </w:rPr>
        <w:t xml:space="preserve">produsele/aplicațiile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utilizate/disponibile pentru oferirea serviciului de filtrare 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o-RO" w:eastAsia="ro-RO" w:bidi="ro-RO"/>
        </w:rPr>
        <w:t xml:space="preserve">conținutului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din Internet cu impact negativ asupra copiilor furnizat la solicitarea utilizatorilor de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o-RO" w:eastAsia="ro-RO" w:bidi="ro-RO"/>
        </w:rPr>
        <w:t xml:space="preserve">către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furnizorul de servicii de acces la Internet.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903" w:val="left"/>
        </w:tabs>
        <w:bidi w:val="0"/>
        <w:spacing w:before="0" w:after="0" w:line="240" w:lineRule="auto"/>
        <w:ind w:left="0" w:right="0" w:firstLine="6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Acest indicator va reflecta costul serviciului lunar/anual al serviciului de filtrare 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o-RO" w:eastAsia="ro-RO" w:bidi="ro-RO"/>
        </w:rPr>
        <w:t xml:space="preserve">conținutului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din Internet cu impact negativ asupra copiilor.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30" w:val="left"/>
          <w:tab w:pos="1454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Acest indicator va reflecta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o-RO" w:eastAsia="ro-RO" w:bidi="ro-RO"/>
        </w:rPr>
        <w:t xml:space="preserve">informația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despre locul unde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o-RO" w:eastAsia="ro-RO" w:bidi="ro-RO"/>
        </w:rPr>
        <w:t xml:space="preserve">activează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furnizorul: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o-RO" w:eastAsia="ro-RO" w:bidi="ro-RO"/>
        </w:rPr>
        <w:t xml:space="preserve">în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mediul urban sau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rural.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898" w:val="left"/>
        </w:tabs>
        <w:bidi w:val="0"/>
        <w:spacing w:before="0" w:after="0" w:line="240" w:lineRule="auto"/>
        <w:ind w:left="0" w:right="0" w:firstLine="6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Acest indicator va reflecta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o-RO" w:eastAsia="ro-RO" w:bidi="ro-RO"/>
        </w:rPr>
        <w:t xml:space="preserve">informația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privind plasarea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o-RO" w:eastAsia="ro-RO" w:bidi="ro-RO"/>
        </w:rPr>
        <w:t xml:space="preserve">ghidurilor/informației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despre serviciul de filtrare 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o-RO" w:eastAsia="ro-RO" w:bidi="ro-RO"/>
        </w:rPr>
        <w:t xml:space="preserve">conținutului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din Internet cu impact negativ asupra copiilor (linkuri) pe pagina web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o-RO" w:eastAsia="ro-RO" w:bidi="ro-RO"/>
        </w:rPr>
        <w:t xml:space="preserve">oficială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a furnizorului precum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o-RO" w:eastAsia="ro-RO" w:bidi="ro-RO"/>
        </w:rPr>
        <w:t xml:space="preserve">și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la sediile/oficiile comerciale sau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o-RO" w:eastAsia="ro-RO" w:bidi="ro-RO"/>
        </w:rPr>
        <w:t xml:space="preserve">distribuită în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alt mod,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o-RO" w:eastAsia="ro-RO" w:bidi="ro-RO"/>
        </w:rPr>
        <w:t xml:space="preserve">în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cazul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o-RO" w:eastAsia="ro-RO" w:bidi="ro-RO"/>
        </w:rPr>
        <w:t xml:space="preserve">când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furnizorul nu are o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o-RO" w:eastAsia="ro-RO" w:bidi="ro-RO"/>
        </w:rPr>
        <w:t xml:space="preserve">pagină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web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o-RO" w:eastAsia="ro-RO" w:bidi="ro-RO"/>
        </w:rPr>
        <w:t xml:space="preserve">în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mediul Internet.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934" w:val="left"/>
        </w:tabs>
        <w:bidi w:val="0"/>
        <w:spacing w:before="0" w:after="0" w:line="240" w:lineRule="auto"/>
        <w:ind w:left="0" w:right="0" w:firstLine="6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Acest indicator va reflecta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o-RO" w:eastAsia="ro-RO" w:bidi="ro-RO"/>
        </w:rPr>
        <w:t xml:space="preserve">informația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despre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o-RO" w:eastAsia="ro-RO" w:bidi="ro-RO"/>
        </w:rPr>
        <w:t xml:space="preserve">numărul petițiilor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privind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o-RO" w:eastAsia="ro-RO" w:bidi="ro-RO"/>
        </w:rPr>
        <w:t xml:space="preserve">funcționarea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serviciului sau privind raportarea cazurilor de content inadecvat pentru minori.</w:t>
      </w:r>
    </w:p>
    <w:sectPr>
      <w:footerReference w:type="default" r:id="rId5"/>
      <w:footnotePr>
        <w:pos w:val="pageBottom"/>
        <w:numFmt w:val="decimal"/>
        <w:numRestart w:val="continuous"/>
      </w:footnotePr>
      <w:pgSz w:w="11900" w:h="16840"/>
      <w:pgMar w:top="678" w:right="506" w:bottom="1088" w:left="492" w:header="250" w:footer="3" w:gutter="0"/>
      <w:pgNumType w:start="1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7152640</wp:posOffset>
              </wp:positionH>
              <wp:positionV relativeFrom="page">
                <wp:posOffset>10448925</wp:posOffset>
              </wp:positionV>
              <wp:extent cx="52070" cy="88265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2070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fldSimple w:instr=" PAGE \* MERGEFORMAT "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63.20000000000005pt;margin-top:822.75pt;width:4.0999999999999996pt;height:6.9500000000000002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fldSimple w:instr=" PAGE \* MERGEFORMAT ">
                      <w:r>
                        <w:rPr>
                          <w:rFonts w:ascii="Calibri" w:eastAsia="Calibri" w:hAnsi="Calibri" w:cs="Calibri"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customStyle="1" w:styleId="CharStyle3">
    <w:name w:val="Body text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5">
    <w:name w:val="Header or footer (2)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ru-RU" w:eastAsia="ru-RU" w:bidi="ru-RU"/>
    </w:rPr>
  </w:style>
  <w:style w:type="character" w:customStyle="1" w:styleId="CharStyle9">
    <w:name w:val="Heading #1_"/>
    <w:basedOn w:val="DefaultParagraphFont"/>
    <w:link w:val="Style8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paragraph" w:styleId="Style2">
    <w:name w:val="Body text"/>
    <w:basedOn w:val="Normal"/>
    <w:link w:val="CharStyle3"/>
    <w:qFormat/>
    <w:pPr>
      <w:widowControl w:val="0"/>
      <w:shd w:val="clear" w:color="auto" w:fill="auto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4">
    <w:name w:val="Header or footer (2)"/>
    <w:basedOn w:val="Normal"/>
    <w:link w:val="CharStyle5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ru-RU" w:eastAsia="ru-RU" w:bidi="ru-RU"/>
    </w:rPr>
  </w:style>
  <w:style w:type="paragraph" w:customStyle="1" w:styleId="Style8">
    <w:name w:val="Heading #1"/>
    <w:basedOn w:val="Normal"/>
    <w:link w:val="CharStyle9"/>
    <w:pPr>
      <w:widowControl w:val="0"/>
      <w:shd w:val="clear" w:color="auto" w:fill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V.Madan</dc:creator>
  <cp:keywords/>
</cp:coreProperties>
</file>